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776C8" w14:textId="77777777" w:rsidR="00D80299" w:rsidRDefault="00D80299" w:rsidP="00E01F65">
      <w:pPr>
        <w:pStyle w:val="Heading1"/>
        <w:rPr>
          <w:lang w:val="en"/>
        </w:rPr>
      </w:pPr>
    </w:p>
    <w:p w14:paraId="3BF4C1BB" w14:textId="77777777" w:rsidR="00C714C8" w:rsidRPr="00D80299" w:rsidRDefault="00792E69" w:rsidP="00E01F65">
      <w:pPr>
        <w:pStyle w:val="Heading1"/>
        <w:rPr>
          <w:sz w:val="18"/>
          <w:szCs w:val="18"/>
        </w:rPr>
      </w:pPr>
      <w:bookmarkStart w:id="0" w:name="_Hlk11158651"/>
      <w:r>
        <w:rPr>
          <w:lang w:val="en"/>
        </w:rPr>
        <w:t>FELLOW application</w:t>
      </w:r>
      <w:r w:rsidR="00F75603">
        <w:rPr>
          <w:lang w:val="en"/>
        </w:rPr>
        <w:t xml:space="preserve"> </w:t>
      </w:r>
      <w:r w:rsidR="004173EC">
        <w:rPr>
          <w:lang w:val="en"/>
        </w:rPr>
        <w:t>a</w:t>
      </w:r>
      <w:r w:rsidR="00E12723">
        <w:rPr>
          <w:lang w:val="en"/>
        </w:rPr>
        <w:t>ssessment</w:t>
      </w:r>
      <w:r w:rsidR="004173EC">
        <w:rPr>
          <w:lang w:val="en"/>
        </w:rPr>
        <w:t xml:space="preserve"> c</w:t>
      </w:r>
      <w:r w:rsidR="00C41BB1" w:rsidRPr="00C41BB1">
        <w:rPr>
          <w:lang w:val="en"/>
        </w:rPr>
        <w:t>riteria</w:t>
      </w:r>
      <w:r w:rsidR="00D80299">
        <w:rPr>
          <w:lang w:val="en"/>
        </w:rPr>
        <w:tab/>
      </w:r>
      <w:r w:rsidR="00D80299">
        <w:rPr>
          <w:lang w:val="en"/>
        </w:rPr>
        <w:tab/>
      </w:r>
      <w:r w:rsidR="00D80299">
        <w:rPr>
          <w:lang w:val="en"/>
        </w:rPr>
        <w:tab/>
      </w:r>
      <w:r w:rsidR="00D80299">
        <w:rPr>
          <w:lang w:val="en"/>
        </w:rPr>
        <w:tab/>
      </w:r>
      <w:r w:rsidR="00D80299">
        <w:rPr>
          <w:lang w:val="en"/>
        </w:rPr>
        <w:tab/>
      </w:r>
      <w:r w:rsidR="00D80299">
        <w:rPr>
          <w:lang w:val="en"/>
        </w:rPr>
        <w:tab/>
      </w:r>
      <w:r w:rsidR="00D80299">
        <w:rPr>
          <w:lang w:val="en"/>
        </w:rPr>
        <w:tab/>
      </w:r>
      <w:r w:rsidR="00D80299" w:rsidRPr="00D037F8">
        <w:t>Applicants Name:</w:t>
      </w:r>
      <w:r w:rsidR="00D80299">
        <w:br/>
      </w:r>
    </w:p>
    <w:bookmarkEnd w:id="0"/>
    <w:p w14:paraId="37B8EC10" w14:textId="77777777" w:rsidR="00BC0B53" w:rsidRPr="00D80299" w:rsidRDefault="00BC0B53" w:rsidP="00BC0B53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D80299">
        <w:rPr>
          <w:bCs/>
          <w:i/>
          <w:iCs/>
          <w:sz w:val="20"/>
          <w:szCs w:val="20"/>
        </w:rPr>
        <w:t>Successful applicants cannot be assessed as “Insufficient” in any category, by any member of the panel.</w:t>
      </w:r>
    </w:p>
    <w:p w14:paraId="4C450671" w14:textId="77777777" w:rsidR="00BC0B53" w:rsidRPr="00D80299" w:rsidRDefault="00BC0B53" w:rsidP="00BC0B53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D80299">
        <w:rPr>
          <w:bCs/>
          <w:i/>
          <w:iCs/>
          <w:sz w:val="20"/>
          <w:szCs w:val="20"/>
        </w:rPr>
        <w:t>Successful applicants must be rated “Pass” in the A1, A2 and C1 categories (</w:t>
      </w:r>
      <w:r w:rsidR="00312A29" w:rsidRPr="00D80299">
        <w:rPr>
          <w:bCs/>
          <w:i/>
          <w:iCs/>
          <w:sz w:val="20"/>
          <w:szCs w:val="20"/>
        </w:rPr>
        <w:t>“</w:t>
      </w:r>
      <w:r w:rsidRPr="00D80299">
        <w:rPr>
          <w:bCs/>
          <w:i/>
          <w:iCs/>
          <w:sz w:val="20"/>
          <w:szCs w:val="20"/>
        </w:rPr>
        <w:t>Contributions</w:t>
      </w:r>
      <w:r w:rsidR="00312A29" w:rsidRPr="00D80299">
        <w:rPr>
          <w:bCs/>
          <w:i/>
          <w:iCs/>
          <w:sz w:val="20"/>
          <w:szCs w:val="20"/>
        </w:rPr>
        <w:t>”</w:t>
      </w:r>
      <w:r w:rsidRPr="00D80299">
        <w:rPr>
          <w:bCs/>
          <w:i/>
          <w:iCs/>
          <w:sz w:val="20"/>
          <w:szCs w:val="20"/>
        </w:rPr>
        <w:t xml:space="preserve">, </w:t>
      </w:r>
      <w:r w:rsidR="00312A29" w:rsidRPr="00D80299">
        <w:rPr>
          <w:bCs/>
          <w:i/>
          <w:iCs/>
          <w:sz w:val="20"/>
          <w:szCs w:val="20"/>
        </w:rPr>
        <w:t>“</w:t>
      </w:r>
      <w:r w:rsidRPr="00D80299">
        <w:rPr>
          <w:bCs/>
          <w:i/>
          <w:iCs/>
          <w:sz w:val="20"/>
          <w:szCs w:val="20"/>
        </w:rPr>
        <w:t>Practice</w:t>
      </w:r>
      <w:r w:rsidR="00312A29" w:rsidRPr="00D80299">
        <w:rPr>
          <w:bCs/>
          <w:i/>
          <w:iCs/>
          <w:sz w:val="20"/>
          <w:szCs w:val="20"/>
        </w:rPr>
        <w:t>”</w:t>
      </w:r>
      <w:r w:rsidRPr="00D80299">
        <w:rPr>
          <w:bCs/>
          <w:i/>
          <w:iCs/>
          <w:sz w:val="20"/>
          <w:szCs w:val="20"/>
        </w:rPr>
        <w:t xml:space="preserve"> and </w:t>
      </w:r>
      <w:r w:rsidR="00312A29" w:rsidRPr="00D80299">
        <w:rPr>
          <w:bCs/>
          <w:i/>
          <w:iCs/>
          <w:sz w:val="20"/>
          <w:szCs w:val="20"/>
        </w:rPr>
        <w:t>“</w:t>
      </w:r>
      <w:r w:rsidRPr="00D80299">
        <w:rPr>
          <w:bCs/>
          <w:i/>
          <w:iCs/>
          <w:sz w:val="20"/>
          <w:szCs w:val="20"/>
        </w:rPr>
        <w:t>Ambassador</w:t>
      </w:r>
      <w:r w:rsidR="00312A29" w:rsidRPr="00D80299">
        <w:rPr>
          <w:bCs/>
          <w:i/>
          <w:iCs/>
          <w:sz w:val="20"/>
          <w:szCs w:val="20"/>
        </w:rPr>
        <w:t>”</w:t>
      </w:r>
      <w:r w:rsidRPr="00D80299">
        <w:rPr>
          <w:bCs/>
          <w:i/>
          <w:iCs/>
          <w:sz w:val="20"/>
          <w:szCs w:val="20"/>
        </w:rPr>
        <w:t>)</w:t>
      </w:r>
      <w:r w:rsidR="00312A29" w:rsidRPr="00D80299">
        <w:rPr>
          <w:bCs/>
          <w:i/>
          <w:iCs/>
          <w:sz w:val="20"/>
          <w:szCs w:val="20"/>
        </w:rPr>
        <w:t xml:space="preserve">, by </w:t>
      </w:r>
      <w:r w:rsidR="00312A29" w:rsidRPr="00D80299">
        <w:rPr>
          <w:b/>
          <w:bCs/>
          <w:i/>
          <w:iCs/>
          <w:sz w:val="20"/>
          <w:szCs w:val="20"/>
        </w:rPr>
        <w:t>all</w:t>
      </w:r>
      <w:r w:rsidR="00312A29" w:rsidRPr="00D80299">
        <w:rPr>
          <w:bCs/>
          <w:i/>
          <w:iCs/>
          <w:sz w:val="20"/>
          <w:szCs w:val="20"/>
        </w:rPr>
        <w:t xml:space="preserve"> panel members</w:t>
      </w:r>
      <w:r w:rsidRPr="00D80299">
        <w:rPr>
          <w:bCs/>
          <w:i/>
          <w:iCs/>
          <w:sz w:val="20"/>
          <w:szCs w:val="20"/>
        </w:rPr>
        <w:t>.</w:t>
      </w:r>
    </w:p>
    <w:p w14:paraId="0F14F4B8" w14:textId="77777777" w:rsidR="00BC0B53" w:rsidRPr="00D80299" w:rsidRDefault="00BC0B53" w:rsidP="00BC0B53">
      <w:pPr>
        <w:numPr>
          <w:ilvl w:val="0"/>
          <w:numId w:val="6"/>
        </w:numPr>
        <w:spacing w:after="0"/>
        <w:rPr>
          <w:sz w:val="20"/>
          <w:szCs w:val="20"/>
        </w:rPr>
      </w:pPr>
      <w:r w:rsidRPr="00D80299">
        <w:rPr>
          <w:bCs/>
          <w:i/>
          <w:iCs/>
          <w:sz w:val="20"/>
          <w:szCs w:val="20"/>
        </w:rPr>
        <w:t xml:space="preserve">Successful applicants </w:t>
      </w:r>
      <w:r w:rsidR="00974C35" w:rsidRPr="00D80299">
        <w:rPr>
          <w:bCs/>
          <w:i/>
          <w:iCs/>
          <w:sz w:val="20"/>
          <w:szCs w:val="20"/>
        </w:rPr>
        <w:t>cannot be assessed as “Borderline” in more than one category, by any member of the panel</w:t>
      </w:r>
      <w:r w:rsidR="00312A29" w:rsidRPr="00D80299">
        <w:rPr>
          <w:bCs/>
          <w:i/>
          <w:iCs/>
          <w:sz w:val="20"/>
          <w:szCs w:val="20"/>
        </w:rPr>
        <w:t>.</w:t>
      </w:r>
    </w:p>
    <w:p w14:paraId="31FCFE40" w14:textId="77777777" w:rsidR="00D80299" w:rsidRPr="00A66BB1" w:rsidRDefault="00D80299" w:rsidP="00D80299">
      <w:pPr>
        <w:spacing w:after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197"/>
        <w:gridCol w:w="2924"/>
        <w:gridCol w:w="2519"/>
        <w:gridCol w:w="3348"/>
        <w:gridCol w:w="2960"/>
      </w:tblGrid>
      <w:tr w:rsidR="00C714C8" w:rsidRPr="00AE72DF" w14:paraId="50BF182C" w14:textId="77777777" w:rsidTr="00F7560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14:paraId="51B2BB0F" w14:textId="77777777" w:rsidR="00C714C8" w:rsidRPr="00AE72DF" w:rsidRDefault="00C41BB1" w:rsidP="00F75603">
            <w:pPr>
              <w:pStyle w:val="Heading1"/>
              <w:rPr>
                <w:rFonts w:eastAsia="Arial"/>
                <w:highlight w:val="yellow"/>
              </w:rPr>
            </w:pPr>
            <w:r w:rsidRPr="00AE72DF">
              <w:rPr>
                <w:rFonts w:eastAsia="Arial"/>
              </w:rPr>
              <w:t>Contributions to industry</w:t>
            </w:r>
            <w:r w:rsidR="00C714C8" w:rsidRPr="00AE72DF">
              <w:rPr>
                <w:rFonts w:eastAsia="Arial"/>
              </w:rPr>
              <w:t xml:space="preserve"> </w:t>
            </w:r>
          </w:p>
        </w:tc>
      </w:tr>
      <w:tr w:rsidR="00C714C8" w:rsidRPr="00AE72DF" w14:paraId="04123358" w14:textId="77777777" w:rsidTr="00974C35">
        <w:trPr>
          <w:cantSplit/>
        </w:trPr>
        <w:tc>
          <w:tcPr>
            <w:tcW w:w="788" w:type="pct"/>
            <w:shd w:val="clear" w:color="auto" w:fill="auto"/>
          </w:tcPr>
          <w:p w14:paraId="4E0F3523" w14:textId="77777777" w:rsidR="00C714C8" w:rsidRPr="00AE72DF" w:rsidRDefault="00C714C8" w:rsidP="00C41BB1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151" w:type="pct"/>
            <w:gridSpan w:val="3"/>
            <w:shd w:val="clear" w:color="auto" w:fill="auto"/>
          </w:tcPr>
          <w:p w14:paraId="387661CC" w14:textId="77777777" w:rsidR="00C714C8" w:rsidRPr="00F75603" w:rsidRDefault="00C714C8" w:rsidP="00AE72DF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Sufficiency Descriptors</w:t>
            </w:r>
            <w:r w:rsid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E01F65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[Typical standard tha</w:t>
            </w:r>
            <w:r w:rsidR="00AD14A4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t</w:t>
            </w:r>
            <w:r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, if replicated across the whole submission, would produce a</w:t>
            </w:r>
            <w:r w:rsidR="00AE72DF"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n</w:t>
            </w:r>
            <w:r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EB380B"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Insufficient</w:t>
            </w:r>
            <w:r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EB380B"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Borderline</w:t>
            </w:r>
            <w:r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or </w:t>
            </w:r>
            <w:r w:rsidR="00EB380B"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>Pass</w:t>
            </w:r>
            <w:r w:rsidRPr="00F75603"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  <w:t xml:space="preserve"> result]</w:t>
            </w:r>
          </w:p>
        </w:tc>
        <w:tc>
          <w:tcPr>
            <w:tcW w:w="1061" w:type="pct"/>
            <w:shd w:val="clear" w:color="auto" w:fill="auto"/>
          </w:tcPr>
          <w:p w14:paraId="3092A008" w14:textId="77777777" w:rsidR="00C714C8" w:rsidRPr="00F75603" w:rsidRDefault="00C714C8" w:rsidP="00C41BB1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Assessor </w:t>
            </w:r>
            <w:r w:rsidR="00F75603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notes</w:t>
            </w:r>
            <w:r w:rsidR="00764AD3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/ </w:t>
            </w: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feedback </w:t>
            </w:r>
          </w:p>
        </w:tc>
      </w:tr>
      <w:tr w:rsidR="00DE6F85" w:rsidRPr="00AE72DF" w14:paraId="1851A47E" w14:textId="77777777" w:rsidTr="00974C35">
        <w:trPr>
          <w:cantSplit/>
        </w:trPr>
        <w:tc>
          <w:tcPr>
            <w:tcW w:w="788" w:type="pct"/>
            <w:vMerge w:val="restart"/>
            <w:shd w:val="clear" w:color="auto" w:fill="auto"/>
          </w:tcPr>
          <w:p w14:paraId="494861AD" w14:textId="77777777" w:rsidR="00DE6F85" w:rsidRPr="00B23747" w:rsidRDefault="00DE6F85" w:rsidP="00F75603">
            <w:pPr>
              <w:pStyle w:val="Subtitle"/>
              <w:rPr>
                <w:rStyle w:val="IntenseEmphasis"/>
                <w:rFonts w:asciiTheme="minorHAnsi" w:hAnsiTheme="minorHAnsi"/>
                <w:i/>
                <w:sz w:val="22"/>
                <w:szCs w:val="22"/>
              </w:rPr>
            </w:pPr>
            <w:r w:rsidRPr="00B23747">
              <w:rPr>
                <w:rStyle w:val="IntenseEmphasis"/>
                <w:rFonts w:asciiTheme="minorHAnsi" w:hAnsiTheme="minorHAnsi"/>
                <w:i/>
                <w:sz w:val="22"/>
                <w:szCs w:val="22"/>
              </w:rPr>
              <w:t>A1 Contributions to the field of design and construction health and safety risk management</w:t>
            </w:r>
          </w:p>
        </w:tc>
        <w:tc>
          <w:tcPr>
            <w:tcW w:w="1048" w:type="pct"/>
            <w:shd w:val="clear" w:color="auto" w:fill="auto"/>
          </w:tcPr>
          <w:p w14:paraId="78D81837" w14:textId="77777777" w:rsidR="00DE6F85" w:rsidRPr="00F75603" w:rsidRDefault="00792E69" w:rsidP="00DE6F8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Pass</w:t>
            </w:r>
          </w:p>
        </w:tc>
        <w:tc>
          <w:tcPr>
            <w:tcW w:w="903" w:type="pct"/>
            <w:shd w:val="clear" w:color="auto" w:fill="auto"/>
          </w:tcPr>
          <w:p w14:paraId="1525E52D" w14:textId="77777777" w:rsidR="00DE6F85" w:rsidRPr="00F75603" w:rsidRDefault="00EB380B" w:rsidP="00DE6F8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0" w:type="pct"/>
            <w:shd w:val="clear" w:color="auto" w:fill="auto"/>
          </w:tcPr>
          <w:p w14:paraId="69D5B81A" w14:textId="77777777" w:rsidR="00DE6F85" w:rsidRPr="00F75603" w:rsidRDefault="00792E69" w:rsidP="00DE6F8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061" w:type="pct"/>
            <w:vMerge w:val="restart"/>
            <w:shd w:val="clear" w:color="auto" w:fill="auto"/>
          </w:tcPr>
          <w:p w14:paraId="4704A598" w14:textId="77777777" w:rsidR="00DE6F85" w:rsidRPr="00AE72DF" w:rsidRDefault="00DE6F85" w:rsidP="00DE6F85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E6F85" w:rsidRPr="00AE72DF" w14:paraId="6E3221B4" w14:textId="77777777" w:rsidTr="00974C35">
        <w:trPr>
          <w:cantSplit/>
          <w:trHeight w:val="1608"/>
        </w:trPr>
        <w:tc>
          <w:tcPr>
            <w:tcW w:w="78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203B4F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auto"/>
          </w:tcPr>
          <w:p w14:paraId="62900EC1" w14:textId="77777777" w:rsidR="00DE6F85" w:rsidRPr="00F75603" w:rsidRDefault="00792E69" w:rsidP="00991EF6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 w:rsidRPr="00792E69">
              <w:rPr>
                <w:rFonts w:ascii="Arial" w:eastAsia="Arial" w:hAnsi="Arial" w:cs="Arial"/>
                <w:sz w:val="20"/>
                <w:szCs w:val="20"/>
              </w:rPr>
              <w:t>Strong, clear, consistent examples of high-level contributions,</w:t>
            </w:r>
            <w:r w:rsidR="00991EF6">
              <w:rPr>
                <w:rFonts w:ascii="Arial" w:eastAsia="Arial" w:hAnsi="Arial" w:cs="Arial"/>
                <w:sz w:val="20"/>
                <w:szCs w:val="20"/>
              </w:rPr>
              <w:t xml:space="preserve"> leading to significant </w:t>
            </w:r>
            <w:r w:rsidRPr="00792E69">
              <w:rPr>
                <w:rFonts w:ascii="Arial" w:eastAsia="Arial" w:hAnsi="Arial" w:cs="Arial"/>
                <w:sz w:val="20"/>
                <w:szCs w:val="20"/>
              </w:rPr>
              <w:t>advances in design and construction health and safety risk management.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auto"/>
          </w:tcPr>
          <w:p w14:paraId="4B92DFC6" w14:textId="77777777" w:rsidR="00DE6F85" w:rsidRPr="00F75603" w:rsidRDefault="00843ACD" w:rsidP="00843ACD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‘Significance’ of examples not clear and / or, or not extensive. 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shd w:val="clear" w:color="auto" w:fill="auto"/>
          </w:tcPr>
          <w:p w14:paraId="5C9F8AB7" w14:textId="77777777" w:rsidR="00DE6F85" w:rsidRPr="00F75603" w:rsidRDefault="00792E69" w:rsidP="007948F2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 w:rsidRPr="00792E69">
              <w:rPr>
                <w:rFonts w:ascii="Arial" w:eastAsia="Arial" w:hAnsi="Arial" w:cs="Arial"/>
                <w:sz w:val="20"/>
                <w:szCs w:val="20"/>
              </w:rPr>
              <w:t>Contributions are unclear or confused; scope is not ‘significant’ (</w:t>
            </w:r>
            <w:proofErr w:type="spellStart"/>
            <w:r w:rsidRPr="00792E69">
              <w:rPr>
                <w:rFonts w:ascii="Arial" w:eastAsia="Arial" w:hAnsi="Arial" w:cs="Arial"/>
                <w:sz w:val="20"/>
                <w:szCs w:val="20"/>
              </w:rPr>
              <w:t>ie</w:t>
            </w:r>
            <w:proofErr w:type="spellEnd"/>
            <w:r w:rsidRPr="00792E69">
              <w:rPr>
                <w:rFonts w:ascii="Arial" w:eastAsia="Arial" w:hAnsi="Arial" w:cs="Arial"/>
                <w:sz w:val="20"/>
                <w:szCs w:val="20"/>
              </w:rPr>
              <w:t xml:space="preserve">. limited in reach, effect, or relevance to design and construction risk management).  </w:t>
            </w:r>
          </w:p>
        </w:tc>
        <w:tc>
          <w:tcPr>
            <w:tcW w:w="106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F997BE0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E6F85" w:rsidRPr="00AE72DF" w14:paraId="79B97156" w14:textId="77777777" w:rsidTr="00974C35">
        <w:trPr>
          <w:cantSplit/>
          <w:trHeight w:val="312"/>
        </w:trPr>
        <w:tc>
          <w:tcPr>
            <w:tcW w:w="788" w:type="pct"/>
            <w:vMerge w:val="restart"/>
            <w:shd w:val="clear" w:color="auto" w:fill="auto"/>
          </w:tcPr>
          <w:p w14:paraId="1443F4CC" w14:textId="77777777" w:rsidR="00DE6F85" w:rsidRPr="00B23747" w:rsidRDefault="00DE6F85" w:rsidP="00F75603">
            <w:pPr>
              <w:pStyle w:val="Subtitle"/>
              <w:rPr>
                <w:rStyle w:val="IntenseEmphasis"/>
                <w:rFonts w:asciiTheme="minorHAnsi" w:hAnsiTheme="minorHAnsi"/>
                <w:i/>
                <w:sz w:val="22"/>
                <w:szCs w:val="22"/>
              </w:rPr>
            </w:pPr>
            <w:r w:rsidRPr="00B23747">
              <w:rPr>
                <w:rStyle w:val="IntenseEmphasis"/>
                <w:rFonts w:asciiTheme="minorHAnsi" w:hAnsiTheme="minorHAnsi"/>
                <w:i/>
                <w:sz w:val="22"/>
                <w:szCs w:val="22"/>
              </w:rPr>
              <w:t>A2 Professional Practice</w:t>
            </w:r>
          </w:p>
        </w:tc>
        <w:tc>
          <w:tcPr>
            <w:tcW w:w="1048" w:type="pct"/>
            <w:shd w:val="clear" w:color="auto" w:fill="auto"/>
          </w:tcPr>
          <w:p w14:paraId="0E12FA13" w14:textId="77777777" w:rsidR="00DE6F85" w:rsidRPr="00F75603" w:rsidRDefault="00792E69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92E6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Pass</w:t>
            </w:r>
          </w:p>
        </w:tc>
        <w:tc>
          <w:tcPr>
            <w:tcW w:w="903" w:type="pct"/>
            <w:shd w:val="clear" w:color="auto" w:fill="auto"/>
          </w:tcPr>
          <w:p w14:paraId="091054B7" w14:textId="77777777" w:rsidR="00DE6F85" w:rsidRPr="00F75603" w:rsidRDefault="00EB380B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0" w:type="pct"/>
            <w:shd w:val="clear" w:color="auto" w:fill="auto"/>
          </w:tcPr>
          <w:p w14:paraId="528EB198" w14:textId="77777777" w:rsidR="00DE6F85" w:rsidRPr="00F75603" w:rsidRDefault="00792E69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92E6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061" w:type="pct"/>
            <w:vMerge w:val="restart"/>
            <w:shd w:val="clear" w:color="auto" w:fill="auto"/>
          </w:tcPr>
          <w:p w14:paraId="473FE823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E6F85" w:rsidRPr="00AE72DF" w14:paraId="3E90A773" w14:textId="77777777" w:rsidTr="00974C35">
        <w:trPr>
          <w:cantSplit/>
          <w:trHeight w:val="843"/>
        </w:trPr>
        <w:tc>
          <w:tcPr>
            <w:tcW w:w="78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A3DDC4A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8" w:type="pct"/>
            <w:tcBorders>
              <w:bottom w:val="single" w:sz="4" w:space="0" w:color="auto"/>
            </w:tcBorders>
            <w:shd w:val="clear" w:color="auto" w:fill="auto"/>
          </w:tcPr>
          <w:p w14:paraId="1238DA07" w14:textId="77777777" w:rsidR="00C07A3A" w:rsidRPr="00F75603" w:rsidRDefault="00F82162" w:rsidP="00792E69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792E69">
              <w:rPr>
                <w:rFonts w:ascii="Arial" w:eastAsia="Arial" w:hAnsi="Arial" w:cs="Arial"/>
                <w:sz w:val="20"/>
                <w:szCs w:val="20"/>
              </w:rPr>
              <w:t xml:space="preserve">ractice demonstrates a current ability to address / resolve </w:t>
            </w:r>
            <w:r w:rsidR="00792E69" w:rsidRPr="00792E69">
              <w:rPr>
                <w:rFonts w:ascii="Arial" w:eastAsia="Arial" w:hAnsi="Arial" w:cs="Arial"/>
                <w:sz w:val="20"/>
                <w:szCs w:val="20"/>
              </w:rPr>
              <w:t>significant DRM challenges (in terms of complexity, scale or scope)</w:t>
            </w:r>
            <w:r w:rsidR="00792E69">
              <w:rPr>
                <w:rFonts w:ascii="Arial" w:eastAsia="Arial" w:hAnsi="Arial" w:cs="Arial"/>
                <w:sz w:val="20"/>
                <w:szCs w:val="20"/>
              </w:rPr>
              <w:t>; ability to communicate key issues in clear, concise manner.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auto"/>
          </w:tcPr>
          <w:p w14:paraId="2A10FB89" w14:textId="77777777" w:rsidR="00DE6F85" w:rsidRPr="00F75603" w:rsidRDefault="00843ACD" w:rsidP="00843ACD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Some good examples, but unclear re complexity or scale / scope.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shd w:val="clear" w:color="auto" w:fill="auto"/>
          </w:tcPr>
          <w:p w14:paraId="688E8B10" w14:textId="77777777" w:rsidR="00DE6F85" w:rsidRPr="00F75603" w:rsidRDefault="00792E69" w:rsidP="0037057E">
            <w:pPr>
              <w:tabs>
                <w:tab w:val="left" w:pos="34"/>
              </w:tabs>
              <w:spacing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92E69">
              <w:rPr>
                <w:rFonts w:ascii="Arial" w:eastAsia="Arial" w:hAnsi="Arial" w:cs="Arial"/>
                <w:color w:val="000000"/>
                <w:sz w:val="20"/>
                <w:szCs w:val="20"/>
              </w:rPr>
              <w:t>Examples appear routine / basic in nature; insufficient degree of challenge, complexity or scope; not explained in a clear and concise manner; no clear indication of long-term, significant professional practice; doubts about current relevance.</w:t>
            </w:r>
          </w:p>
        </w:tc>
        <w:tc>
          <w:tcPr>
            <w:tcW w:w="106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F79CBEA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E74BFA4" w14:textId="77777777" w:rsidR="00E01F65" w:rsidRDefault="00E01F65">
      <w:r>
        <w:rPr>
          <w:b/>
          <w:bCs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058"/>
        <w:gridCol w:w="3069"/>
        <w:gridCol w:w="2639"/>
        <w:gridCol w:w="2854"/>
        <w:gridCol w:w="3328"/>
      </w:tblGrid>
      <w:tr w:rsidR="00C714C8" w:rsidRPr="00AE72DF" w14:paraId="54030E59" w14:textId="77777777" w:rsidTr="00F75603">
        <w:trPr>
          <w:cantSplit/>
          <w:trHeight w:val="312"/>
        </w:trPr>
        <w:tc>
          <w:tcPr>
            <w:tcW w:w="5000" w:type="pct"/>
            <w:gridSpan w:val="5"/>
            <w:shd w:val="clear" w:color="auto" w:fill="E0E0E0"/>
          </w:tcPr>
          <w:p w14:paraId="6FE8E0C0" w14:textId="77777777" w:rsidR="00C714C8" w:rsidRPr="00F75603" w:rsidRDefault="00C41BB1" w:rsidP="00F75603">
            <w:pPr>
              <w:pStyle w:val="Heading1"/>
            </w:pPr>
            <w:r w:rsidRPr="00F75603">
              <w:lastRenderedPageBreak/>
              <w:t>Personal Development</w:t>
            </w:r>
            <w:r w:rsidR="00C714C8" w:rsidRPr="00F75603">
              <w:t xml:space="preserve"> </w:t>
            </w:r>
          </w:p>
        </w:tc>
      </w:tr>
      <w:tr w:rsidR="00DE6F85" w:rsidRPr="00AE72DF" w14:paraId="68A1AF83" w14:textId="77777777" w:rsidTr="00491E66">
        <w:trPr>
          <w:cantSplit/>
          <w:trHeight w:val="312"/>
        </w:trPr>
        <w:tc>
          <w:tcPr>
            <w:tcW w:w="738" w:type="pct"/>
            <w:vMerge w:val="restart"/>
            <w:shd w:val="clear" w:color="auto" w:fill="auto"/>
          </w:tcPr>
          <w:p w14:paraId="144A5C0E" w14:textId="77777777" w:rsidR="00DE6F85" w:rsidRPr="00F75603" w:rsidRDefault="00DE6F85" w:rsidP="00C41BB1">
            <w:pPr>
              <w:tabs>
                <w:tab w:val="center" w:pos="4153"/>
                <w:tab w:val="right" w:pos="8306"/>
              </w:tabs>
              <w:rPr>
                <w:rStyle w:val="IntenseEmphasis"/>
              </w:rPr>
            </w:pPr>
            <w:r w:rsidRPr="00F75603">
              <w:rPr>
                <w:rStyle w:val="IntenseEmphasis"/>
              </w:rPr>
              <w:t>B1 Commitment to CPD</w:t>
            </w:r>
          </w:p>
          <w:p w14:paraId="03BA31E6" w14:textId="77777777" w:rsidR="00DE6F85" w:rsidRPr="00AE72DF" w:rsidRDefault="00DE6F85" w:rsidP="00C41BB1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216" w:lineRule="auto"/>
              <w:ind w:hanging="7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shd w:val="clear" w:color="auto" w:fill="auto"/>
          </w:tcPr>
          <w:p w14:paraId="1918E97F" w14:textId="77777777" w:rsidR="00DE6F85" w:rsidRPr="00F75603" w:rsidRDefault="00711AB0" w:rsidP="00711AB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Pass </w:t>
            </w:r>
          </w:p>
        </w:tc>
        <w:tc>
          <w:tcPr>
            <w:tcW w:w="946" w:type="pct"/>
            <w:shd w:val="clear" w:color="auto" w:fill="auto"/>
          </w:tcPr>
          <w:p w14:paraId="6BC275AA" w14:textId="77777777" w:rsidR="00DE6F85" w:rsidRPr="00F75603" w:rsidRDefault="00EB380B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3" w:type="pct"/>
            <w:shd w:val="clear" w:color="auto" w:fill="auto"/>
          </w:tcPr>
          <w:p w14:paraId="1E28F45E" w14:textId="77777777" w:rsidR="00DE6F85" w:rsidRPr="00F75603" w:rsidRDefault="00711AB0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11AB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193" w:type="pct"/>
            <w:vMerge w:val="restart"/>
            <w:shd w:val="clear" w:color="auto" w:fill="auto"/>
          </w:tcPr>
          <w:p w14:paraId="24338C7F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E6F85" w:rsidRPr="00AE72DF" w14:paraId="6E36D7D9" w14:textId="77777777" w:rsidTr="00491E66">
        <w:trPr>
          <w:cantSplit/>
          <w:trHeight w:val="843"/>
        </w:trPr>
        <w:tc>
          <w:tcPr>
            <w:tcW w:w="73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DD72A74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tcBorders>
              <w:bottom w:val="single" w:sz="4" w:space="0" w:color="auto"/>
            </w:tcBorders>
            <w:shd w:val="clear" w:color="auto" w:fill="auto"/>
          </w:tcPr>
          <w:p w14:paraId="62847343" w14:textId="77777777" w:rsidR="00DE6F85" w:rsidRPr="00F75603" w:rsidRDefault="00711AB0" w:rsidP="00711AB0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 w:rsidRPr="00711AB0">
              <w:rPr>
                <w:rFonts w:ascii="Arial" w:eastAsia="Arial" w:hAnsi="Arial" w:cs="Arial"/>
                <w:sz w:val="20"/>
                <w:szCs w:val="20"/>
              </w:rPr>
              <w:t>Clear commitment to a structured, reflective process of personal development aimed at expanding and deepening skills, knowledge and experience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in DRM practice</w:t>
            </w:r>
            <w:r w:rsidRPr="00711AB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</w:tcPr>
          <w:p w14:paraId="0E46CA5A" w14:textId="77777777" w:rsidR="00DE6F85" w:rsidRPr="00F75603" w:rsidRDefault="00711AB0" w:rsidP="00BC0B53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843ACD">
              <w:rPr>
                <w:rFonts w:ascii="Arial" w:eastAsia="Arial" w:hAnsi="Arial" w:cs="Arial"/>
                <w:sz w:val="20"/>
                <w:szCs w:val="20"/>
              </w:rPr>
              <w:t xml:space="preserve">ome </w:t>
            </w:r>
            <w:r w:rsidR="00BC0B53">
              <w:rPr>
                <w:rFonts w:ascii="Arial" w:eastAsia="Arial" w:hAnsi="Arial" w:cs="Arial"/>
                <w:sz w:val="20"/>
                <w:szCs w:val="20"/>
              </w:rPr>
              <w:t xml:space="preserve">lack of clarity / focus with regard to self-reflection, </w:t>
            </w:r>
            <w:r w:rsidR="00843ACD">
              <w:rPr>
                <w:rFonts w:ascii="Arial" w:eastAsia="Arial" w:hAnsi="Arial" w:cs="Arial"/>
                <w:sz w:val="20"/>
                <w:szCs w:val="20"/>
              </w:rPr>
              <w:t>structure, relevance.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shd w:val="clear" w:color="auto" w:fill="auto"/>
          </w:tcPr>
          <w:p w14:paraId="4CCD9F95" w14:textId="77777777" w:rsidR="00DE6F85" w:rsidRPr="00F75603" w:rsidRDefault="00711AB0" w:rsidP="00711AB0">
            <w:pPr>
              <w:spacing w:after="0" w:line="240" w:lineRule="auto"/>
              <w:ind w:left="68"/>
              <w:rPr>
                <w:rFonts w:ascii="Arial" w:eastAsia="Arial" w:hAnsi="Arial" w:cs="Arial"/>
                <w:sz w:val="20"/>
                <w:szCs w:val="20"/>
              </w:rPr>
            </w:pPr>
            <w:r w:rsidRPr="00711AB0">
              <w:rPr>
                <w:rFonts w:ascii="Arial" w:eastAsia="Arial" w:hAnsi="Arial" w:cs="Arial"/>
                <w:sz w:val="20"/>
                <w:szCs w:val="20"/>
              </w:rPr>
              <w:t>CPD absent or deficient in relation to any of the following: self-reflection; lack of structure; relevance to DRM.</w:t>
            </w:r>
          </w:p>
        </w:tc>
        <w:tc>
          <w:tcPr>
            <w:tcW w:w="119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76FFC83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E6F85" w:rsidRPr="00AE72DF" w14:paraId="4D43102A" w14:textId="77777777" w:rsidTr="00711AB0">
        <w:trPr>
          <w:cantSplit/>
          <w:trHeight w:val="418"/>
        </w:trPr>
        <w:tc>
          <w:tcPr>
            <w:tcW w:w="738" w:type="pct"/>
            <w:vMerge w:val="restart"/>
            <w:shd w:val="clear" w:color="auto" w:fill="auto"/>
          </w:tcPr>
          <w:p w14:paraId="49038AC1" w14:textId="77777777" w:rsidR="00DE6F85" w:rsidRPr="00F75603" w:rsidRDefault="00DE6F85" w:rsidP="00C41BB1">
            <w:pPr>
              <w:tabs>
                <w:tab w:val="center" w:pos="4153"/>
                <w:tab w:val="right" w:pos="8306"/>
              </w:tabs>
              <w:rPr>
                <w:rStyle w:val="IntenseEmphasis"/>
              </w:rPr>
            </w:pPr>
            <w:r w:rsidRPr="00F75603">
              <w:rPr>
                <w:rStyle w:val="IntenseEmphasis"/>
              </w:rPr>
              <w:t>B2 Mentoring</w:t>
            </w:r>
          </w:p>
          <w:p w14:paraId="27EEEFBF" w14:textId="77777777" w:rsidR="00DE6F85" w:rsidRPr="00AE72DF" w:rsidRDefault="00DE6F85" w:rsidP="00C41BB1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216" w:lineRule="auto"/>
              <w:ind w:hanging="72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shd w:val="clear" w:color="auto" w:fill="auto"/>
          </w:tcPr>
          <w:p w14:paraId="14703FDE" w14:textId="77777777" w:rsidR="00DE6F85" w:rsidRPr="00F75603" w:rsidRDefault="00711AB0" w:rsidP="00711AB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Pass </w:t>
            </w:r>
          </w:p>
        </w:tc>
        <w:tc>
          <w:tcPr>
            <w:tcW w:w="946" w:type="pct"/>
            <w:shd w:val="clear" w:color="auto" w:fill="auto"/>
          </w:tcPr>
          <w:p w14:paraId="314ED415" w14:textId="77777777" w:rsidR="00DE6F85" w:rsidRPr="00F75603" w:rsidRDefault="00EB380B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3" w:type="pct"/>
            <w:shd w:val="clear" w:color="auto" w:fill="auto"/>
          </w:tcPr>
          <w:p w14:paraId="382AF874" w14:textId="77777777" w:rsidR="00DE6F85" w:rsidRPr="00F75603" w:rsidRDefault="00711AB0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11AB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193" w:type="pct"/>
            <w:vMerge w:val="restart"/>
            <w:shd w:val="clear" w:color="auto" w:fill="auto"/>
          </w:tcPr>
          <w:p w14:paraId="638A5746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E6F85" w:rsidRPr="00AE72DF" w14:paraId="4B653E9D" w14:textId="77777777" w:rsidTr="00491E66">
        <w:trPr>
          <w:cantSplit/>
          <w:trHeight w:val="748"/>
        </w:trPr>
        <w:tc>
          <w:tcPr>
            <w:tcW w:w="738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0CFFF24" w14:textId="77777777" w:rsidR="00DE6F85" w:rsidRPr="00AE72DF" w:rsidRDefault="00DE6F85" w:rsidP="00C41BB1">
            <w:pPr>
              <w:numPr>
                <w:ilvl w:val="0"/>
                <w:numId w:val="3"/>
              </w:numPr>
              <w:tabs>
                <w:tab w:val="num" w:pos="284"/>
              </w:tabs>
              <w:spacing w:after="0" w:line="216" w:lineRule="auto"/>
              <w:ind w:hanging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pct"/>
            <w:tcBorders>
              <w:bottom w:val="single" w:sz="4" w:space="0" w:color="auto"/>
            </w:tcBorders>
            <w:shd w:val="clear" w:color="auto" w:fill="auto"/>
          </w:tcPr>
          <w:p w14:paraId="667BC06C" w14:textId="77777777" w:rsidR="00DE6F85" w:rsidRPr="00F75603" w:rsidRDefault="00711AB0" w:rsidP="00711AB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711AB0">
              <w:rPr>
                <w:rFonts w:ascii="Arial" w:eastAsia="Arial" w:hAnsi="Arial" w:cs="Arial"/>
                <w:sz w:val="20"/>
                <w:szCs w:val="20"/>
              </w:rPr>
              <w:t xml:space="preserve">Demonstrable long-term, structured support for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the development of others’ </w:t>
            </w:r>
            <w:r w:rsidRPr="00711AB0">
              <w:rPr>
                <w:rFonts w:ascii="Arial" w:eastAsia="Arial" w:hAnsi="Arial" w:cs="Arial"/>
                <w:sz w:val="20"/>
                <w:szCs w:val="20"/>
              </w:rPr>
              <w:t xml:space="preserve">skills, knowledge </w:t>
            </w:r>
            <w:r w:rsidRPr="00711AB0">
              <w:rPr>
                <w:rFonts w:ascii="Arial" w:eastAsia="Arial" w:hAnsi="Arial" w:cs="Arial"/>
                <w:b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experience</w:t>
            </w:r>
            <w:r w:rsidRPr="00711AB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</w:tcPr>
          <w:p w14:paraId="3491DFDA" w14:textId="77777777" w:rsidR="00DE6F85" w:rsidRPr="00F75603" w:rsidRDefault="009C1200" w:rsidP="00711AB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D86122">
              <w:rPr>
                <w:rFonts w:ascii="Arial" w:eastAsia="Arial" w:hAnsi="Arial" w:cs="Arial"/>
                <w:sz w:val="20"/>
                <w:szCs w:val="20"/>
              </w:rPr>
              <w:t xml:space="preserve">vidence </w:t>
            </w:r>
            <w:r w:rsidR="00711AB0">
              <w:rPr>
                <w:rFonts w:ascii="Arial" w:eastAsia="Arial" w:hAnsi="Arial" w:cs="Arial"/>
                <w:sz w:val="20"/>
                <w:szCs w:val="20"/>
              </w:rPr>
              <w:t xml:space="preserve">provided, </w:t>
            </w:r>
            <w:r w:rsidR="00D86122">
              <w:rPr>
                <w:rFonts w:ascii="Arial" w:eastAsia="Arial" w:hAnsi="Arial" w:cs="Arial"/>
                <w:sz w:val="20"/>
                <w:szCs w:val="20"/>
              </w:rPr>
              <w:t xml:space="preserve">but </w:t>
            </w:r>
            <w:r w:rsidR="00711AB0">
              <w:rPr>
                <w:rFonts w:ascii="Arial" w:eastAsia="Arial" w:hAnsi="Arial" w:cs="Arial"/>
                <w:sz w:val="20"/>
                <w:szCs w:val="20"/>
              </w:rPr>
              <w:t xml:space="preserve">doubts / gaps re </w:t>
            </w:r>
            <w:r>
              <w:rPr>
                <w:rFonts w:ascii="Arial" w:eastAsia="Arial" w:hAnsi="Arial" w:cs="Arial"/>
                <w:sz w:val="20"/>
                <w:szCs w:val="20"/>
              </w:rPr>
              <w:t>how this is sustained, or the way it is structured.</w:t>
            </w:r>
          </w:p>
        </w:tc>
        <w:tc>
          <w:tcPr>
            <w:tcW w:w="1023" w:type="pct"/>
            <w:tcBorders>
              <w:bottom w:val="single" w:sz="4" w:space="0" w:color="auto"/>
            </w:tcBorders>
            <w:shd w:val="clear" w:color="auto" w:fill="auto"/>
          </w:tcPr>
          <w:p w14:paraId="5B458842" w14:textId="77777777" w:rsidR="00DE6F85" w:rsidRPr="00F75603" w:rsidRDefault="00711AB0" w:rsidP="002C7CD7">
            <w:pPr>
              <w:tabs>
                <w:tab w:val="left" w:pos="34"/>
              </w:tabs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11AB0">
              <w:rPr>
                <w:rFonts w:ascii="Arial" w:eastAsia="Arial" w:hAnsi="Arial" w:cs="Arial"/>
                <w:color w:val="000000"/>
                <w:sz w:val="20"/>
                <w:szCs w:val="20"/>
              </w:rPr>
              <w:t>No convincing examples provided. Examples given do not demonstrate sustained, structured approach to supporting others.</w:t>
            </w:r>
          </w:p>
        </w:tc>
        <w:tc>
          <w:tcPr>
            <w:tcW w:w="119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589328E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C41BB1" w:rsidRPr="00AE72DF" w14:paraId="0F568328" w14:textId="77777777" w:rsidTr="00F75603">
        <w:trPr>
          <w:cantSplit/>
          <w:trHeight w:val="312"/>
        </w:trPr>
        <w:tc>
          <w:tcPr>
            <w:tcW w:w="5000" w:type="pct"/>
            <w:gridSpan w:val="5"/>
            <w:shd w:val="clear" w:color="auto" w:fill="D9D9D9" w:themeFill="background1" w:themeFillShade="D9"/>
          </w:tcPr>
          <w:p w14:paraId="061FDC63" w14:textId="77777777" w:rsidR="00C41BB1" w:rsidRPr="00F75603" w:rsidRDefault="00C41BB1" w:rsidP="00F75603">
            <w:pPr>
              <w:pStyle w:val="Heading1"/>
            </w:pPr>
            <w:r w:rsidRPr="00F75603">
              <w:t>APS and Industry</w:t>
            </w:r>
          </w:p>
        </w:tc>
      </w:tr>
      <w:tr w:rsidR="00DE6F85" w:rsidRPr="00AE72DF" w14:paraId="763AAC8B" w14:textId="77777777" w:rsidTr="00D42EA7">
        <w:trPr>
          <w:cantSplit/>
          <w:trHeight w:val="312"/>
        </w:trPr>
        <w:tc>
          <w:tcPr>
            <w:tcW w:w="738" w:type="pct"/>
            <w:vMerge w:val="restart"/>
            <w:shd w:val="clear" w:color="auto" w:fill="auto"/>
          </w:tcPr>
          <w:p w14:paraId="04F24A0F" w14:textId="77777777" w:rsidR="00DE6F85" w:rsidRPr="00F75603" w:rsidRDefault="00DE6F85" w:rsidP="00C41BB1">
            <w:pPr>
              <w:spacing w:line="216" w:lineRule="auto"/>
              <w:rPr>
                <w:rStyle w:val="IntenseEmphasis"/>
              </w:rPr>
            </w:pPr>
            <w:r w:rsidRPr="00F75603">
              <w:rPr>
                <w:rStyle w:val="IntenseEmphasis"/>
              </w:rPr>
              <w:t>C1 Ambassador for the Association</w:t>
            </w:r>
          </w:p>
        </w:tc>
        <w:tc>
          <w:tcPr>
            <w:tcW w:w="1100" w:type="pct"/>
            <w:shd w:val="clear" w:color="auto" w:fill="auto"/>
          </w:tcPr>
          <w:p w14:paraId="5E0FE196" w14:textId="77777777" w:rsidR="00DE6F85" w:rsidRPr="00BF3EBC" w:rsidRDefault="00BF3EBC" w:rsidP="00787E9B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BF3EB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Pass</w:t>
            </w:r>
          </w:p>
        </w:tc>
        <w:tc>
          <w:tcPr>
            <w:tcW w:w="946" w:type="pct"/>
            <w:shd w:val="clear" w:color="auto" w:fill="auto"/>
          </w:tcPr>
          <w:p w14:paraId="224E23EA" w14:textId="77777777" w:rsidR="00DE6F85" w:rsidRPr="00F75603" w:rsidRDefault="00EB380B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3" w:type="pct"/>
            <w:shd w:val="clear" w:color="auto" w:fill="auto"/>
          </w:tcPr>
          <w:p w14:paraId="2AC49B7B" w14:textId="77777777" w:rsidR="00DE6F85" w:rsidRPr="00F75603" w:rsidRDefault="00BF3EBC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3EB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193" w:type="pct"/>
            <w:vMerge w:val="restart"/>
            <w:shd w:val="clear" w:color="auto" w:fill="auto"/>
          </w:tcPr>
          <w:p w14:paraId="538D7E7F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E6F85" w:rsidRPr="00AE72DF" w14:paraId="140CE41B" w14:textId="77777777" w:rsidTr="00D42EA7">
        <w:trPr>
          <w:cantSplit/>
          <w:trHeight w:val="312"/>
        </w:trPr>
        <w:tc>
          <w:tcPr>
            <w:tcW w:w="738" w:type="pct"/>
            <w:vMerge/>
            <w:shd w:val="clear" w:color="auto" w:fill="auto"/>
          </w:tcPr>
          <w:p w14:paraId="43FA4B9A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shd w:val="clear" w:color="auto" w:fill="auto"/>
          </w:tcPr>
          <w:p w14:paraId="74333D91" w14:textId="77777777" w:rsidR="00DE6F85" w:rsidRPr="00F75603" w:rsidRDefault="00BF3EBC" w:rsidP="00BF3EB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3EBC">
              <w:rPr>
                <w:rFonts w:ascii="Arial" w:eastAsia="Arial" w:hAnsi="Arial" w:cs="Arial"/>
                <w:color w:val="000000"/>
                <w:sz w:val="20"/>
                <w:szCs w:val="20"/>
              </w:rPr>
              <w:t>Demonstrabl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 involvement in APS activities</w:t>
            </w:r>
            <w:r w:rsidRPr="00BF3EBC">
              <w:rPr>
                <w:rFonts w:ascii="Arial" w:eastAsia="Arial" w:hAnsi="Arial" w:cs="Arial"/>
                <w:color w:val="000000"/>
                <w:sz w:val="20"/>
                <w:szCs w:val="20"/>
              </w:rPr>
              <w:t>; convincing examples of APS promotion with 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egional / national stakeholders; clear understanding of APS strategy</w:t>
            </w:r>
            <w:r w:rsid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>, governance and structure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 </w:t>
            </w:r>
            <w:r w:rsidRPr="00BF3EBC">
              <w:rPr>
                <w:rFonts w:ascii="Arial" w:eastAsia="Arial" w:hAnsi="Arial" w:cs="Arial"/>
                <w:color w:val="000000"/>
                <w:sz w:val="20"/>
                <w:szCs w:val="20"/>
              </w:rPr>
              <w:t>Convincing plans for meaningful future involvement / promotion.</w:t>
            </w:r>
            <w:r w:rsid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</w:t>
            </w:r>
            <w:r w:rsidRPr="00BF3EBC">
              <w:rPr>
                <w:rFonts w:ascii="Arial" w:eastAsia="Arial" w:hAnsi="Arial" w:cs="Arial"/>
                <w:color w:val="000000"/>
                <w:sz w:val="20"/>
                <w:szCs w:val="20"/>
              </w:rPr>
              <w:t>Excellent communication skills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14:paraId="6CCDCFB8" w14:textId="77777777" w:rsidR="00DE6F85" w:rsidRPr="00F75603" w:rsidRDefault="00E75435" w:rsidP="00E7543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Some uncertainties about APS strategy / mission, governance / structure; low level of involvement and knowledge of APS activities; not always convincing when communicating APS / DRM ideas.</w:t>
            </w:r>
          </w:p>
        </w:tc>
        <w:tc>
          <w:tcPr>
            <w:tcW w:w="1023" w:type="pct"/>
            <w:shd w:val="clear" w:color="auto" w:fill="auto"/>
          </w:tcPr>
          <w:p w14:paraId="2EA6C35A" w14:textId="77777777" w:rsidR="00DE6F85" w:rsidRPr="00F75603" w:rsidRDefault="00BF3EBC" w:rsidP="00F75603">
            <w:pPr>
              <w:tabs>
                <w:tab w:val="left" w:pos="34"/>
              </w:tabs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3EBC">
              <w:rPr>
                <w:rFonts w:ascii="Arial" w:eastAsia="Arial" w:hAnsi="Arial" w:cs="Arial"/>
                <w:color w:val="000000"/>
                <w:sz w:val="20"/>
                <w:szCs w:val="20"/>
              </w:rPr>
              <w:t>Lack of convincing / concrete examples; apparent lack of understanding of APS strategy, mission statement, governance and structure; lack of knowledge / involvement in APS activities. Ideas and opinions are not expressed clearly and convincingly.</w:t>
            </w:r>
          </w:p>
        </w:tc>
        <w:tc>
          <w:tcPr>
            <w:tcW w:w="1193" w:type="pct"/>
            <w:vMerge/>
            <w:shd w:val="clear" w:color="auto" w:fill="auto"/>
          </w:tcPr>
          <w:p w14:paraId="4EA110C3" w14:textId="77777777" w:rsidR="00DE6F85" w:rsidRPr="00AE72DF" w:rsidRDefault="00DE6F85" w:rsidP="00787E9B">
            <w:pPr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E6F85" w:rsidRPr="00AE72DF" w14:paraId="2832CE2D" w14:textId="77777777" w:rsidTr="00D42EA7">
        <w:trPr>
          <w:cantSplit/>
          <w:trHeight w:val="312"/>
        </w:trPr>
        <w:tc>
          <w:tcPr>
            <w:tcW w:w="738" w:type="pct"/>
            <w:vMerge w:val="restart"/>
            <w:shd w:val="clear" w:color="auto" w:fill="auto"/>
          </w:tcPr>
          <w:p w14:paraId="4D979C6D" w14:textId="77777777" w:rsidR="00DE6F85" w:rsidRPr="00F75603" w:rsidRDefault="00DE6F85" w:rsidP="00C41BB1">
            <w:pPr>
              <w:spacing w:line="216" w:lineRule="auto"/>
              <w:rPr>
                <w:rStyle w:val="IntenseEmphasis"/>
              </w:rPr>
            </w:pPr>
            <w:r w:rsidRPr="00F75603">
              <w:rPr>
                <w:rStyle w:val="IntenseEmphasis"/>
              </w:rPr>
              <w:lastRenderedPageBreak/>
              <w:t>C2 The future for construction design risk management and APS</w:t>
            </w:r>
          </w:p>
        </w:tc>
        <w:tc>
          <w:tcPr>
            <w:tcW w:w="1100" w:type="pct"/>
            <w:shd w:val="clear" w:color="auto" w:fill="auto"/>
          </w:tcPr>
          <w:p w14:paraId="4C58D96A" w14:textId="77777777" w:rsidR="00DE6F85" w:rsidRPr="00F75603" w:rsidRDefault="00BF0664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Pass</w:t>
            </w:r>
          </w:p>
        </w:tc>
        <w:tc>
          <w:tcPr>
            <w:tcW w:w="946" w:type="pct"/>
            <w:shd w:val="clear" w:color="auto" w:fill="auto"/>
          </w:tcPr>
          <w:p w14:paraId="07998CDB" w14:textId="77777777" w:rsidR="00DE6F85" w:rsidRPr="00F75603" w:rsidRDefault="00EB380B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3" w:type="pct"/>
            <w:shd w:val="clear" w:color="auto" w:fill="auto"/>
          </w:tcPr>
          <w:p w14:paraId="28BD5CC4" w14:textId="77777777" w:rsidR="00DE6F85" w:rsidRPr="00F75603" w:rsidRDefault="00BF0664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193" w:type="pct"/>
            <w:vMerge w:val="restart"/>
            <w:shd w:val="clear" w:color="auto" w:fill="auto"/>
          </w:tcPr>
          <w:p w14:paraId="039C8F51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E6F85" w:rsidRPr="00AE72DF" w14:paraId="3D76389C" w14:textId="77777777" w:rsidTr="00D42EA7">
        <w:trPr>
          <w:cantSplit/>
          <w:trHeight w:val="312"/>
        </w:trPr>
        <w:tc>
          <w:tcPr>
            <w:tcW w:w="738" w:type="pct"/>
            <w:vMerge/>
            <w:shd w:val="clear" w:color="auto" w:fill="auto"/>
          </w:tcPr>
          <w:p w14:paraId="401C4D38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00" w:type="pct"/>
            <w:shd w:val="clear" w:color="auto" w:fill="auto"/>
          </w:tcPr>
          <w:p w14:paraId="18CB3204" w14:textId="77777777" w:rsidR="00DE6F85" w:rsidRPr="00F75603" w:rsidRDefault="00BF0664" w:rsidP="00BF0664">
            <w:pPr>
              <w:tabs>
                <w:tab w:val="left" w:pos="34"/>
              </w:tabs>
              <w:spacing w:after="0"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Convincing, thoughtful analysis of the challenges and opportunities facing APS, </w:t>
            </w:r>
            <w:proofErr w:type="gramStart"/>
            <w:r w:rsidRP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>taking into account</w:t>
            </w:r>
            <w:proofErr w:type="gramEnd"/>
            <w:r w:rsidRP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regulatory, political and business constraints.</w:t>
            </w:r>
          </w:p>
        </w:tc>
        <w:tc>
          <w:tcPr>
            <w:tcW w:w="946" w:type="pct"/>
            <w:shd w:val="clear" w:color="auto" w:fill="auto"/>
          </w:tcPr>
          <w:p w14:paraId="464A80AB" w14:textId="77777777" w:rsidR="00DE6F85" w:rsidRPr="00F75603" w:rsidRDefault="00A66BB1" w:rsidP="00A66BB1">
            <w:pPr>
              <w:tabs>
                <w:tab w:val="left" w:pos="34"/>
              </w:tabs>
              <w:spacing w:after="0"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Generally convincing but</w:t>
            </w:r>
            <w:r w:rsidR="00E7543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some areas lacking clarity; gaps in understanding of regulatory, political and/or business context.</w:t>
            </w:r>
            <w:r w:rsidR="00E7543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3" w:type="pct"/>
            <w:shd w:val="clear" w:color="auto" w:fill="auto"/>
          </w:tcPr>
          <w:p w14:paraId="33370952" w14:textId="77777777" w:rsidR="00DE6F85" w:rsidRPr="00F75603" w:rsidRDefault="00BF0664" w:rsidP="007C3FDF">
            <w:pPr>
              <w:tabs>
                <w:tab w:val="left" w:pos="34"/>
              </w:tabs>
              <w:spacing w:after="0"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>Unconvincing or unrealistic analysis of challenges and opportunities.  Does not demonstrate a thorough grasp of regulatory, political and business constraints.</w:t>
            </w:r>
          </w:p>
        </w:tc>
        <w:tc>
          <w:tcPr>
            <w:tcW w:w="1193" w:type="pct"/>
            <w:vMerge/>
            <w:shd w:val="clear" w:color="auto" w:fill="auto"/>
          </w:tcPr>
          <w:p w14:paraId="616D6987" w14:textId="77777777" w:rsidR="00DE6F85" w:rsidRPr="00AE72DF" w:rsidRDefault="00DE6F85" w:rsidP="00787E9B">
            <w:pPr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E6F85" w:rsidRPr="00AE72DF" w14:paraId="39754C6F" w14:textId="77777777" w:rsidTr="001014F4">
        <w:trPr>
          <w:cantSplit/>
          <w:trHeight w:val="507"/>
        </w:trPr>
        <w:tc>
          <w:tcPr>
            <w:tcW w:w="738" w:type="pct"/>
            <w:vMerge w:val="restart"/>
            <w:shd w:val="clear" w:color="auto" w:fill="auto"/>
          </w:tcPr>
          <w:p w14:paraId="7B6686F8" w14:textId="77777777" w:rsidR="00DE6F85" w:rsidRPr="00F75603" w:rsidRDefault="001014F4" w:rsidP="00C41BB1">
            <w:pPr>
              <w:spacing w:line="216" w:lineRule="auto"/>
              <w:rPr>
                <w:rStyle w:val="IntenseEmphasis"/>
              </w:rPr>
            </w:pPr>
            <w:r>
              <w:rPr>
                <w:rStyle w:val="IntenseEmphasis"/>
              </w:rPr>
              <w:t>C3 Improving the construction s</w:t>
            </w:r>
            <w:r w:rsidR="00DE6F85" w:rsidRPr="00F75603">
              <w:rPr>
                <w:rStyle w:val="IntenseEmphasis"/>
              </w:rPr>
              <w:t>ector</w:t>
            </w:r>
          </w:p>
        </w:tc>
        <w:tc>
          <w:tcPr>
            <w:tcW w:w="1100" w:type="pct"/>
            <w:shd w:val="clear" w:color="auto" w:fill="auto"/>
          </w:tcPr>
          <w:p w14:paraId="2754D12E" w14:textId="77777777" w:rsidR="00DE6F85" w:rsidRPr="00F75603" w:rsidRDefault="00BF0664" w:rsidP="00BF066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Pass </w:t>
            </w:r>
          </w:p>
        </w:tc>
        <w:tc>
          <w:tcPr>
            <w:tcW w:w="946" w:type="pct"/>
            <w:shd w:val="clear" w:color="auto" w:fill="auto"/>
          </w:tcPr>
          <w:p w14:paraId="7BE99990" w14:textId="77777777" w:rsidR="00DE6F85" w:rsidRPr="00F75603" w:rsidRDefault="00EB380B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Borderline</w:t>
            </w:r>
            <w:r w:rsidR="00DE6F85" w:rsidRPr="00F75603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3" w:type="pct"/>
            <w:shd w:val="clear" w:color="auto" w:fill="auto"/>
          </w:tcPr>
          <w:p w14:paraId="4BB530EF" w14:textId="77777777" w:rsidR="00DE6F85" w:rsidRPr="00F75603" w:rsidRDefault="00BF0664" w:rsidP="00787E9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Insufficient</w:t>
            </w:r>
          </w:p>
        </w:tc>
        <w:tc>
          <w:tcPr>
            <w:tcW w:w="1193" w:type="pct"/>
            <w:vMerge w:val="restart"/>
            <w:shd w:val="clear" w:color="auto" w:fill="auto"/>
          </w:tcPr>
          <w:p w14:paraId="012311FA" w14:textId="77777777" w:rsidR="00DE6F85" w:rsidRPr="00AE72DF" w:rsidRDefault="00DE6F85" w:rsidP="00787E9B">
            <w:pPr>
              <w:spacing w:line="21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DE6F85" w:rsidRPr="00AE72DF" w14:paraId="49122FBA" w14:textId="77777777" w:rsidTr="00D42EA7">
        <w:trPr>
          <w:cantSplit/>
          <w:trHeight w:val="527"/>
        </w:trPr>
        <w:tc>
          <w:tcPr>
            <w:tcW w:w="738" w:type="pct"/>
            <w:vMerge/>
            <w:shd w:val="clear" w:color="auto" w:fill="auto"/>
          </w:tcPr>
          <w:p w14:paraId="64020308" w14:textId="77777777" w:rsidR="00DE6F85" w:rsidRPr="00AE72DF" w:rsidRDefault="00DE6F85" w:rsidP="00C41BB1">
            <w:pPr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00" w:type="pct"/>
            <w:shd w:val="clear" w:color="auto" w:fill="auto"/>
          </w:tcPr>
          <w:p w14:paraId="3C3B44DD" w14:textId="77777777" w:rsidR="00DE6F85" w:rsidRPr="00F75603" w:rsidRDefault="00BF0664" w:rsidP="00BF0664">
            <w:pPr>
              <w:tabs>
                <w:tab w:val="left" w:pos="34"/>
              </w:tabs>
              <w:spacing w:after="0"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>Demonstrates a good understanding of the major risks associated with construction and the drivers associated with improving outcomes.</w:t>
            </w:r>
          </w:p>
        </w:tc>
        <w:tc>
          <w:tcPr>
            <w:tcW w:w="946" w:type="pct"/>
            <w:shd w:val="clear" w:color="auto" w:fill="auto"/>
          </w:tcPr>
          <w:p w14:paraId="48CDAEE5" w14:textId="77777777" w:rsidR="00DE6F85" w:rsidRPr="00F75603" w:rsidRDefault="00A66BB1" w:rsidP="00A66BB1">
            <w:pPr>
              <w:tabs>
                <w:tab w:val="left" w:pos="34"/>
              </w:tabs>
              <w:spacing w:after="0"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Generally convincing but some</w:t>
            </w:r>
            <w:r w:rsidR="00E7543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areas lacking clarity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; gaps in understanding of risk in the construction sector and / or drivers for improvement</w:t>
            </w:r>
            <w:r w:rsidR="00E75435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23" w:type="pct"/>
            <w:shd w:val="clear" w:color="auto" w:fill="auto"/>
          </w:tcPr>
          <w:p w14:paraId="15BB7484" w14:textId="77777777" w:rsidR="00DE6F85" w:rsidRPr="00F75603" w:rsidRDefault="00BF0664" w:rsidP="001E5EC2">
            <w:pPr>
              <w:tabs>
                <w:tab w:val="left" w:pos="34"/>
              </w:tabs>
              <w:spacing w:after="0" w:line="216" w:lineRule="auto"/>
              <w:ind w:left="6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F0664">
              <w:rPr>
                <w:rFonts w:ascii="Arial" w:eastAsia="Arial" w:hAnsi="Arial" w:cs="Arial"/>
                <w:color w:val="000000"/>
                <w:sz w:val="20"/>
                <w:szCs w:val="20"/>
              </w:rPr>
              <w:t>Confused / unclear explanation of “risk” in the construction sector.  Unrealistic, inaccurate or irrelevant approaches suggested for reducing risk.</w:t>
            </w:r>
          </w:p>
        </w:tc>
        <w:tc>
          <w:tcPr>
            <w:tcW w:w="1193" w:type="pct"/>
            <w:vMerge/>
            <w:shd w:val="clear" w:color="auto" w:fill="auto"/>
          </w:tcPr>
          <w:p w14:paraId="53719FF4" w14:textId="77777777" w:rsidR="00DE6F85" w:rsidRPr="00AE72DF" w:rsidRDefault="00DE6F85" w:rsidP="00787E9B">
            <w:pPr>
              <w:spacing w:line="21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E6F85" w:rsidRPr="00AE72DF" w14:paraId="62B37A2B" w14:textId="77777777" w:rsidTr="00F75603">
        <w:trPr>
          <w:cantSplit/>
          <w:trHeight w:val="312"/>
        </w:trPr>
        <w:tc>
          <w:tcPr>
            <w:tcW w:w="5000" w:type="pct"/>
            <w:gridSpan w:val="5"/>
            <w:shd w:val="clear" w:color="auto" w:fill="E0E0E0"/>
          </w:tcPr>
          <w:p w14:paraId="59BDD579" w14:textId="77777777" w:rsidR="00AE72DF" w:rsidRPr="00AE72DF" w:rsidRDefault="00DE6F85" w:rsidP="00AE72DF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AE72DF">
              <w:rPr>
                <w:rFonts w:ascii="Arial" w:eastAsia="Arial" w:hAnsi="Arial" w:cs="Arial"/>
                <w:b/>
                <w:bCs/>
                <w:color w:val="000000"/>
              </w:rPr>
              <w:t>Assessor’s Initial Decision</w:t>
            </w:r>
            <w:r w:rsidR="00AE72DF">
              <w:rPr>
                <w:rFonts w:ascii="Arial" w:eastAsia="Arial" w:hAnsi="Arial" w:cs="Arial"/>
                <w:b/>
                <w:bCs/>
                <w:color w:val="000000"/>
              </w:rPr>
              <w:t>:</w:t>
            </w:r>
          </w:p>
        </w:tc>
      </w:tr>
      <w:tr w:rsidR="00DE6F85" w:rsidRPr="00AE72DF" w14:paraId="3C90F1E3" w14:textId="77777777" w:rsidTr="00063803">
        <w:trPr>
          <w:cantSplit/>
          <w:trHeight w:val="1438"/>
        </w:trPr>
        <w:tc>
          <w:tcPr>
            <w:tcW w:w="5000" w:type="pct"/>
            <w:gridSpan w:val="5"/>
            <w:shd w:val="clear" w:color="auto" w:fill="auto"/>
          </w:tcPr>
          <w:p w14:paraId="1A629D17" w14:textId="77777777" w:rsidR="00DE6F85" w:rsidRDefault="00DE6F85" w:rsidP="00C41BB1">
            <w:pPr>
              <w:rPr>
                <w:rFonts w:ascii="Arial" w:eastAsia="Arial" w:hAnsi="Arial" w:cs="Arial"/>
                <w:b/>
                <w:bCs/>
              </w:rPr>
            </w:pPr>
            <w:r w:rsidRPr="00AE72DF">
              <w:rPr>
                <w:rFonts w:ascii="Arial" w:eastAsia="Arial" w:hAnsi="Arial" w:cs="Arial"/>
                <w:b/>
                <w:bCs/>
              </w:rPr>
              <w:t>Note re any significant changes, following peer review</w:t>
            </w:r>
          </w:p>
          <w:p w14:paraId="54312A2F" w14:textId="77777777" w:rsidR="00A8326C" w:rsidRPr="00BF0664" w:rsidRDefault="00A8326C" w:rsidP="0006380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 Narrow" w:hAnsi="Arial" w:cs="Arial"/>
                <w:color w:val="000000"/>
                <w:sz w:val="16"/>
                <w:szCs w:val="16"/>
              </w:rPr>
            </w:pP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Successful applicants </w:t>
            </w:r>
            <w:r w:rsidR="00931CA3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>can</w:t>
            </w:r>
            <w:r w:rsidR="00CE0A18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not </w:t>
            </w:r>
            <w:r w:rsidR="00931CA3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be </w:t>
            </w: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>assessed as “Insufficient”</w:t>
            </w:r>
            <w:r w:rsidR="00CE0A18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 in any category, by any member of the panel</w:t>
            </w: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>.</w:t>
            </w:r>
          </w:p>
          <w:p w14:paraId="7D2C3B11" w14:textId="77777777" w:rsidR="00E01F65" w:rsidRPr="00BF0664" w:rsidRDefault="00E01F65" w:rsidP="00063803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eastAsia="Arial Narrow" w:hAnsi="Arial" w:cs="Arial"/>
                <w:color w:val="000000"/>
                <w:sz w:val="16"/>
                <w:szCs w:val="16"/>
              </w:rPr>
            </w:pP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Successful applicants must be rated “Pass” in </w:t>
            </w:r>
            <w:r w:rsidR="00182A33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the </w:t>
            </w: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A1, A2 and C1 </w:t>
            </w:r>
            <w:r w:rsidR="00CB1AE8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categories </w:t>
            </w: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>(Contributions</w:t>
            </w:r>
            <w:r w:rsidR="00182A33"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BF0664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>Practice and Ambassador).</w:t>
            </w:r>
          </w:p>
          <w:p w14:paraId="24E2EDE5" w14:textId="77777777" w:rsidR="00974C35" w:rsidRPr="00974C35" w:rsidRDefault="00974C35" w:rsidP="00974C35">
            <w:pPr>
              <w:pStyle w:val="ListParagraph"/>
              <w:numPr>
                <w:ilvl w:val="0"/>
                <w:numId w:val="7"/>
              </w:numPr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</w:pPr>
            <w:r w:rsidRPr="00974C35">
              <w:rPr>
                <w:rFonts w:ascii="Arial" w:eastAsia="Arial Narrow" w:hAnsi="Arial" w:cs="Arial"/>
                <w:bCs/>
                <w:i/>
                <w:iCs/>
                <w:color w:val="000000"/>
                <w:sz w:val="16"/>
                <w:szCs w:val="16"/>
              </w:rPr>
              <w:t>Successful applicants cannot be assessed as “Borderline” in more than one category, by any member of the panel.</w:t>
            </w:r>
          </w:p>
          <w:p w14:paraId="30CD2144" w14:textId="77777777" w:rsidR="00063803" w:rsidRDefault="00063803" w:rsidP="00063803">
            <w:pPr>
              <w:jc w:val="both"/>
              <w:rPr>
                <w:rFonts w:ascii="Arial" w:eastAsia="Arial Narrow" w:hAnsi="Arial" w:cs="Arial"/>
                <w:color w:val="000000"/>
                <w:sz w:val="20"/>
                <w:szCs w:val="20"/>
              </w:rPr>
            </w:pPr>
          </w:p>
          <w:p w14:paraId="4881F496" w14:textId="77777777" w:rsidR="00063803" w:rsidRPr="00063803" w:rsidRDefault="00063803" w:rsidP="00063803">
            <w:pPr>
              <w:jc w:val="both"/>
              <w:rPr>
                <w:rFonts w:ascii="Arial" w:eastAsia="Arial Narrow" w:hAnsi="Arial" w:cs="Arial"/>
                <w:color w:val="000000"/>
                <w:sz w:val="20"/>
                <w:szCs w:val="20"/>
              </w:rPr>
            </w:pPr>
          </w:p>
        </w:tc>
      </w:tr>
    </w:tbl>
    <w:p w14:paraId="1F9C71AD" w14:textId="77777777" w:rsidR="00C714C8" w:rsidRDefault="00C714C8"/>
    <w:sectPr w:rsidR="00C714C8" w:rsidSect="00F75603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0CB43" w14:textId="77777777" w:rsidR="00C0377A" w:rsidRDefault="00C0377A" w:rsidP="00C41BB1">
      <w:pPr>
        <w:spacing w:after="0" w:line="240" w:lineRule="auto"/>
      </w:pPr>
      <w:r>
        <w:separator/>
      </w:r>
    </w:p>
  </w:endnote>
  <w:endnote w:type="continuationSeparator" w:id="0">
    <w:p w14:paraId="48195723" w14:textId="77777777" w:rsidR="00C0377A" w:rsidRDefault="00C0377A" w:rsidP="00C41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BC280" w14:textId="77777777" w:rsidR="00F75603" w:rsidRDefault="00BD509E" w:rsidP="00282CF1">
    <w:pPr>
      <w:pStyle w:val="Footer"/>
      <w:tabs>
        <w:tab w:val="clear" w:pos="4513"/>
        <w:tab w:val="clear" w:pos="9026"/>
        <w:tab w:val="left" w:pos="5520"/>
        <w:tab w:val="center" w:pos="6979"/>
        <w:tab w:val="right" w:pos="13958"/>
      </w:tabs>
      <w:jc w:val="right"/>
    </w:pPr>
    <w:r>
      <w:t>Fellow - assessment criteria v1 September 2017</w:t>
    </w:r>
    <w:r w:rsidR="00282CF1">
      <w:t xml:space="preserve"> - </w:t>
    </w:r>
    <w:r w:rsidR="00282CF1" w:rsidRPr="00282CF1">
      <w:t xml:space="preserve">Page </w:t>
    </w:r>
    <w:sdt>
      <w:sdtPr>
        <w:id w:val="-217137914"/>
        <w:docPartObj>
          <w:docPartGallery w:val="Page Numbers (Bottom of Page)"/>
          <w:docPartUnique/>
        </w:docPartObj>
      </w:sdtPr>
      <w:sdtEndPr/>
      <w:sdtContent>
        <w:r w:rsidR="00282CF1" w:rsidRPr="00282CF1">
          <w:fldChar w:fldCharType="begin"/>
        </w:r>
        <w:r w:rsidR="00282CF1" w:rsidRPr="00282CF1">
          <w:instrText xml:space="preserve"> PAGE   \* MERGEFORMAT </w:instrText>
        </w:r>
        <w:r w:rsidR="00282CF1" w:rsidRPr="00282CF1">
          <w:fldChar w:fldCharType="separate"/>
        </w:r>
        <w:r w:rsidR="00A66BB1">
          <w:rPr>
            <w:noProof/>
          </w:rPr>
          <w:t>3</w:t>
        </w:r>
        <w:r w:rsidR="00282CF1" w:rsidRPr="00282CF1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1B604" w14:textId="77777777" w:rsidR="00C0377A" w:rsidRDefault="00C0377A" w:rsidP="00C41BB1">
      <w:pPr>
        <w:spacing w:after="0" w:line="240" w:lineRule="auto"/>
      </w:pPr>
      <w:r>
        <w:separator/>
      </w:r>
    </w:p>
  </w:footnote>
  <w:footnote w:type="continuationSeparator" w:id="0">
    <w:p w14:paraId="59B0E55C" w14:textId="77777777" w:rsidR="00C0377A" w:rsidRDefault="00C0377A" w:rsidP="00C41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563E5F" w14:textId="77777777" w:rsidR="00D80299" w:rsidRDefault="00D80299" w:rsidP="00D80299">
    <w:pPr>
      <w:pStyle w:val="Header"/>
    </w:pPr>
    <w:r>
      <w:rPr>
        <w:noProof/>
      </w:rPr>
      <w:drawing>
        <wp:inline distT="0" distB="0" distL="0" distR="0" wp14:anchorId="217A9995" wp14:editId="7762B3E7">
          <wp:extent cx="2162175" cy="7715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0232A"/>
    <w:multiLevelType w:val="hybridMultilevel"/>
    <w:tmpl w:val="84227158"/>
    <w:lvl w:ilvl="0" w:tplc="C4EC4266">
      <w:start w:val="1"/>
      <w:numFmt w:val="bullet"/>
      <w:lvlText w:val=""/>
      <w:lvlJc w:val="left"/>
      <w:pPr>
        <w:tabs>
          <w:tab w:val="num" w:pos="428"/>
        </w:tabs>
        <w:ind w:left="428" w:hanging="360"/>
      </w:pPr>
      <w:rPr>
        <w:rFonts w:ascii="Symbol" w:eastAsia="Symbol" w:hAnsi="Symbol" w:cs="Symbol" w:hint="default"/>
      </w:rPr>
    </w:lvl>
    <w:lvl w:ilvl="1" w:tplc="9DCE8754">
      <w:start w:val="1"/>
      <w:numFmt w:val="bullet"/>
      <w:lvlText w:val="o"/>
      <w:lvlJc w:val="left"/>
      <w:pPr>
        <w:tabs>
          <w:tab w:val="num" w:pos="1148"/>
        </w:tabs>
        <w:ind w:left="1148" w:hanging="360"/>
      </w:pPr>
      <w:rPr>
        <w:rFonts w:ascii="Courier New" w:eastAsia="Courier New" w:hAnsi="Courier New" w:cs="Courier New" w:hint="default"/>
      </w:rPr>
    </w:lvl>
    <w:lvl w:ilvl="2" w:tplc="35706BF0">
      <w:start w:val="1"/>
      <w:numFmt w:val="bullet"/>
      <w:lvlText w:val=""/>
      <w:lvlJc w:val="left"/>
      <w:pPr>
        <w:tabs>
          <w:tab w:val="num" w:pos="1868"/>
        </w:tabs>
        <w:ind w:left="1868" w:hanging="360"/>
      </w:pPr>
      <w:rPr>
        <w:rFonts w:ascii="Wingdings" w:eastAsia="Wingdings" w:hAnsi="Wingdings" w:cs="Wingdings" w:hint="default"/>
      </w:rPr>
    </w:lvl>
    <w:lvl w:ilvl="3" w:tplc="33F230AC">
      <w:start w:val="1"/>
      <w:numFmt w:val="bullet"/>
      <w:lvlText w:val=""/>
      <w:lvlJc w:val="left"/>
      <w:pPr>
        <w:tabs>
          <w:tab w:val="num" w:pos="2588"/>
        </w:tabs>
        <w:ind w:left="2588" w:hanging="360"/>
      </w:pPr>
      <w:rPr>
        <w:rFonts w:ascii="Symbol" w:eastAsia="Symbol" w:hAnsi="Symbol" w:cs="Symbol" w:hint="default"/>
      </w:rPr>
    </w:lvl>
    <w:lvl w:ilvl="4" w:tplc="93FA7FBA">
      <w:start w:val="1"/>
      <w:numFmt w:val="bullet"/>
      <w:lvlText w:val="o"/>
      <w:lvlJc w:val="left"/>
      <w:pPr>
        <w:tabs>
          <w:tab w:val="num" w:pos="3308"/>
        </w:tabs>
        <w:ind w:left="3308" w:hanging="360"/>
      </w:pPr>
      <w:rPr>
        <w:rFonts w:ascii="Courier New" w:eastAsia="Courier New" w:hAnsi="Courier New" w:cs="Courier New" w:hint="default"/>
      </w:rPr>
    </w:lvl>
    <w:lvl w:ilvl="5" w:tplc="6644A120">
      <w:start w:val="1"/>
      <w:numFmt w:val="bullet"/>
      <w:lvlText w:val=""/>
      <w:lvlJc w:val="left"/>
      <w:pPr>
        <w:tabs>
          <w:tab w:val="num" w:pos="4028"/>
        </w:tabs>
        <w:ind w:left="4028" w:hanging="360"/>
      </w:pPr>
      <w:rPr>
        <w:rFonts w:ascii="Wingdings" w:eastAsia="Wingdings" w:hAnsi="Wingdings" w:cs="Wingdings" w:hint="default"/>
      </w:rPr>
    </w:lvl>
    <w:lvl w:ilvl="6" w:tplc="E4EA8D9C">
      <w:start w:val="1"/>
      <w:numFmt w:val="bullet"/>
      <w:lvlText w:val=""/>
      <w:lvlJc w:val="left"/>
      <w:pPr>
        <w:tabs>
          <w:tab w:val="num" w:pos="4748"/>
        </w:tabs>
        <w:ind w:left="4748" w:hanging="360"/>
      </w:pPr>
      <w:rPr>
        <w:rFonts w:ascii="Symbol" w:eastAsia="Symbol" w:hAnsi="Symbol" w:cs="Symbol" w:hint="default"/>
      </w:rPr>
    </w:lvl>
    <w:lvl w:ilvl="7" w:tplc="3AAAE9D6">
      <w:start w:val="1"/>
      <w:numFmt w:val="bullet"/>
      <w:lvlText w:val="o"/>
      <w:lvlJc w:val="left"/>
      <w:pPr>
        <w:tabs>
          <w:tab w:val="num" w:pos="5468"/>
        </w:tabs>
        <w:ind w:left="5468" w:hanging="360"/>
      </w:pPr>
      <w:rPr>
        <w:rFonts w:ascii="Courier New" w:eastAsia="Courier New" w:hAnsi="Courier New" w:cs="Courier New" w:hint="default"/>
      </w:rPr>
    </w:lvl>
    <w:lvl w:ilvl="8" w:tplc="6B1685E8">
      <w:start w:val="1"/>
      <w:numFmt w:val="bullet"/>
      <w:lvlText w:val=""/>
      <w:lvlJc w:val="left"/>
      <w:pPr>
        <w:tabs>
          <w:tab w:val="num" w:pos="6188"/>
        </w:tabs>
        <w:ind w:left="618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3E76719F"/>
    <w:multiLevelType w:val="hybridMultilevel"/>
    <w:tmpl w:val="FDAA2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677DD"/>
    <w:multiLevelType w:val="hybridMultilevel"/>
    <w:tmpl w:val="3656E29A"/>
    <w:lvl w:ilvl="0" w:tplc="B2561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 w:hint="default"/>
      </w:rPr>
    </w:lvl>
    <w:lvl w:ilvl="1" w:tplc="5D10C6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891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C8E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A32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CE18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960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58AA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9C32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064FA"/>
    <w:multiLevelType w:val="hybridMultilevel"/>
    <w:tmpl w:val="57E8D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327D9"/>
    <w:multiLevelType w:val="hybridMultilevel"/>
    <w:tmpl w:val="CC5CA1C6"/>
    <w:lvl w:ilvl="0" w:tplc="A8DEDE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cs="Symbol" w:hint="default"/>
        <w:sz w:val="22"/>
        <w:szCs w:val="22"/>
      </w:rPr>
    </w:lvl>
    <w:lvl w:ilvl="1" w:tplc="1898D3C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eastAsia="Courier New" w:hAnsi="Courier New" w:cs="Courier New" w:hint="default"/>
      </w:rPr>
    </w:lvl>
    <w:lvl w:ilvl="2" w:tplc="B3C2997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eastAsia="Wingdings" w:hAnsi="Wingdings" w:cs="Wingdings" w:hint="default"/>
      </w:rPr>
    </w:lvl>
    <w:lvl w:ilvl="3" w:tplc="AF1EB5A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Symbol" w:hAnsi="Symbol" w:cs="Symbol" w:hint="default"/>
      </w:rPr>
    </w:lvl>
    <w:lvl w:ilvl="4" w:tplc="9CF28BA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eastAsia="Courier New" w:hAnsi="Courier New" w:cs="Courier New" w:hint="default"/>
      </w:rPr>
    </w:lvl>
    <w:lvl w:ilvl="5" w:tplc="C80870F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eastAsia="Wingdings" w:hAnsi="Wingdings" w:cs="Wingdings" w:hint="default"/>
      </w:rPr>
    </w:lvl>
    <w:lvl w:ilvl="6" w:tplc="53AA0C2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eastAsia="Symbol" w:hAnsi="Symbol" w:cs="Symbol" w:hint="default"/>
      </w:rPr>
    </w:lvl>
    <w:lvl w:ilvl="7" w:tplc="5E427A1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eastAsia="Courier New" w:hAnsi="Courier New" w:cs="Courier New" w:hint="default"/>
      </w:rPr>
    </w:lvl>
    <w:lvl w:ilvl="8" w:tplc="7FC2DE3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59F54CDA"/>
    <w:multiLevelType w:val="hybridMultilevel"/>
    <w:tmpl w:val="09A0AB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E336E"/>
    <w:multiLevelType w:val="hybridMultilevel"/>
    <w:tmpl w:val="5DF055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C8"/>
    <w:rsid w:val="00063803"/>
    <w:rsid w:val="001014F4"/>
    <w:rsid w:val="00124A44"/>
    <w:rsid w:val="00126D79"/>
    <w:rsid w:val="00182A33"/>
    <w:rsid w:val="001C10FF"/>
    <w:rsid w:val="001D79AD"/>
    <w:rsid w:val="001E5EC2"/>
    <w:rsid w:val="00282CF1"/>
    <w:rsid w:val="002979B1"/>
    <w:rsid w:val="002C7CD7"/>
    <w:rsid w:val="00312A29"/>
    <w:rsid w:val="0037057E"/>
    <w:rsid w:val="00372566"/>
    <w:rsid w:val="003F65A9"/>
    <w:rsid w:val="004173EC"/>
    <w:rsid w:val="0044310F"/>
    <w:rsid w:val="004564AA"/>
    <w:rsid w:val="0048485E"/>
    <w:rsid w:val="0048556C"/>
    <w:rsid w:val="00491E66"/>
    <w:rsid w:val="004A6554"/>
    <w:rsid w:val="004C2A46"/>
    <w:rsid w:val="0053717F"/>
    <w:rsid w:val="00613146"/>
    <w:rsid w:val="00651097"/>
    <w:rsid w:val="00654FCB"/>
    <w:rsid w:val="00711AB0"/>
    <w:rsid w:val="00736926"/>
    <w:rsid w:val="00764AD3"/>
    <w:rsid w:val="00792E69"/>
    <w:rsid w:val="007948F2"/>
    <w:rsid w:val="007C3FDF"/>
    <w:rsid w:val="00843ACD"/>
    <w:rsid w:val="00884C8A"/>
    <w:rsid w:val="008877DB"/>
    <w:rsid w:val="008E1709"/>
    <w:rsid w:val="008E5D6A"/>
    <w:rsid w:val="00931CA3"/>
    <w:rsid w:val="00974C35"/>
    <w:rsid w:val="00991EF6"/>
    <w:rsid w:val="00992D55"/>
    <w:rsid w:val="009B6F22"/>
    <w:rsid w:val="009C1200"/>
    <w:rsid w:val="009F4250"/>
    <w:rsid w:val="009F4FC3"/>
    <w:rsid w:val="00A06BC8"/>
    <w:rsid w:val="00A30002"/>
    <w:rsid w:val="00A66BB1"/>
    <w:rsid w:val="00A8326C"/>
    <w:rsid w:val="00AB7D9F"/>
    <w:rsid w:val="00AD14A4"/>
    <w:rsid w:val="00AE72DF"/>
    <w:rsid w:val="00B23747"/>
    <w:rsid w:val="00B42BDE"/>
    <w:rsid w:val="00B617C2"/>
    <w:rsid w:val="00B93A81"/>
    <w:rsid w:val="00B94ED5"/>
    <w:rsid w:val="00BC0B53"/>
    <w:rsid w:val="00BD509E"/>
    <w:rsid w:val="00BE4E8C"/>
    <w:rsid w:val="00BF0664"/>
    <w:rsid w:val="00BF3EBC"/>
    <w:rsid w:val="00C0377A"/>
    <w:rsid w:val="00C07A3A"/>
    <w:rsid w:val="00C41BB1"/>
    <w:rsid w:val="00C714C8"/>
    <w:rsid w:val="00CB1AE8"/>
    <w:rsid w:val="00CE0A18"/>
    <w:rsid w:val="00D13B76"/>
    <w:rsid w:val="00D42EA7"/>
    <w:rsid w:val="00D62E60"/>
    <w:rsid w:val="00D72501"/>
    <w:rsid w:val="00D80299"/>
    <w:rsid w:val="00D86122"/>
    <w:rsid w:val="00DE6F85"/>
    <w:rsid w:val="00DF5749"/>
    <w:rsid w:val="00E01F65"/>
    <w:rsid w:val="00E12723"/>
    <w:rsid w:val="00E74570"/>
    <w:rsid w:val="00E75435"/>
    <w:rsid w:val="00EB380B"/>
    <w:rsid w:val="00EE4A24"/>
    <w:rsid w:val="00F171F7"/>
    <w:rsid w:val="00F75603"/>
    <w:rsid w:val="00F8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0F95A5"/>
  <w15:docId w15:val="{6BB17F33-C676-4EBB-B5E6-2EB8F783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60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714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C714C8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399c300a-a9b1-471b-a9cf-7a776377cf32">
    <w:name w:val="Normal_399c300a-a9b1-471b-a9cf-7a776377cf32"/>
    <w:next w:val="Normal"/>
    <w:qFormat/>
    <w:rsid w:val="00C714C8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41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BB1"/>
  </w:style>
  <w:style w:type="paragraph" w:customStyle="1" w:styleId="Normale4754530-b767-4ba0-8125-7c5c722834d8">
    <w:name w:val="Normal_e4754530-b767-4ba0-8125-7c5c722834d8"/>
    <w:next w:val="Normal"/>
    <w:qFormat/>
    <w:rsid w:val="00EE4A24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E4A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7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A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A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A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A3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75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6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756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7560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CC43B-213B-4964-9F5F-E6F07967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Seditas</dc:creator>
  <cp:lastModifiedBy>Nicola Lally</cp:lastModifiedBy>
  <cp:revision>2</cp:revision>
  <cp:lastPrinted>2019-06-11T14:17:00Z</cp:lastPrinted>
  <dcterms:created xsi:type="dcterms:W3CDTF">2020-11-18T12:32:00Z</dcterms:created>
  <dcterms:modified xsi:type="dcterms:W3CDTF">2020-11-18T12:32:00Z</dcterms:modified>
</cp:coreProperties>
</file>